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Segoe UI Semibold" w:hAnsi="Segoe UI Semibold" w:cs="Segoe UI Semibold"/>
          <w:sz w:val="96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2411752</wp:posOffset>
            </wp:positionH>
            <wp:positionV relativeFrom="paragraph">
              <wp:posOffset>-588471</wp:posOffset>
            </wp:positionV>
            <wp:extent cx="1008993" cy="1177160"/>
            <wp:effectExtent l="19050" t="19050" r="20320" b="23495"/>
            <wp:wrapNone/>
            <wp:docPr id="1" name="Picture 1" descr="Blue co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coa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93" cy="1177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  <w:rPr>
          <w:rFonts w:ascii="Segoe UI Semibold" w:hAnsi="Segoe UI Semibold" w:cs="Segoe UI Semibold"/>
          <w:sz w:val="52"/>
          <w:szCs w:val="72"/>
        </w:rPr>
      </w:pPr>
      <w:r>
        <w:rPr>
          <w:rFonts w:ascii="Segoe UI Semibold" w:hAnsi="Segoe UI Semibold" w:cs="Segoe UI Semibold"/>
          <w:sz w:val="52"/>
          <w:szCs w:val="72"/>
        </w:rPr>
        <w:t xml:space="preserve">Blue Coat </w:t>
      </w:r>
    </w:p>
    <w:p>
      <w:pPr>
        <w:jc w:val="center"/>
        <w:rPr>
          <w:rFonts w:ascii="Segoe UI Semibold" w:hAnsi="Segoe UI Semibold" w:cs="Segoe UI Semibold"/>
          <w:sz w:val="32"/>
          <w:szCs w:val="40"/>
        </w:rPr>
      </w:pPr>
      <w:r>
        <w:rPr>
          <w:rFonts w:ascii="Segoe UI Semibold" w:hAnsi="Segoe UI Semibold" w:cs="Segoe UI Semibold"/>
          <w:sz w:val="52"/>
          <w:szCs w:val="72"/>
        </w:rPr>
        <w:t>Church of England Academy</w:t>
      </w:r>
    </w:p>
    <w:p/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802"/>
        <w:gridCol w:w="7971"/>
      </w:tblGrid>
      <w:tr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Year: 9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7971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Subject: Combined Science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  <w:shd w:val="clear" w:color="auto" w:fill="1F497D" w:themeFill="text2"/>
          </w:tcPr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Overview</w:t>
            </w:r>
          </w:p>
          <w:p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</w:tcPr>
          <w:p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Students follow one of two possible pathways in Science, dependent upon their KS4 option choices. </w:t>
            </w:r>
          </w:p>
          <w:p>
            <w:pPr>
              <w:rPr>
                <w:rFonts w:ascii="Arial" w:hAnsi="Arial" w:cs="Arial"/>
                <w:sz w:val="28"/>
              </w:rPr>
            </w:pPr>
          </w:p>
          <w:p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Those who chose Science as an option </w:t>
            </w:r>
            <w:proofErr w:type="gramStart"/>
            <w:r>
              <w:rPr>
                <w:rFonts w:ascii="Arial" w:hAnsi="Arial" w:cs="Arial"/>
                <w:sz w:val="28"/>
              </w:rPr>
              <w:t>will be entered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for three separate GCSE’s in Biology, Chemistry and Physics, which provides them with 3 GCSE’s. All other pupils </w:t>
            </w:r>
            <w:proofErr w:type="gramStart"/>
            <w:r>
              <w:rPr>
                <w:rFonts w:ascii="Arial" w:hAnsi="Arial" w:cs="Arial"/>
                <w:sz w:val="28"/>
              </w:rPr>
              <w:t>are entered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for Combined Science: Trilogy, which provides them with 2 GCSE’s. For both </w:t>
            </w:r>
            <w:proofErr w:type="gramStart"/>
            <w:r>
              <w:rPr>
                <w:rFonts w:ascii="Arial" w:hAnsi="Arial" w:cs="Arial"/>
                <w:sz w:val="28"/>
              </w:rPr>
              <w:t>pathways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the exams will be a mix of short and long answer questions of 1-6 marks. There will also be some </w:t>
            </w:r>
            <w:proofErr w:type="gramStart"/>
            <w:r>
              <w:rPr>
                <w:rFonts w:ascii="Arial" w:hAnsi="Arial" w:cs="Arial"/>
                <w:sz w:val="28"/>
              </w:rPr>
              <w:t>multiple choice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questions. </w:t>
            </w:r>
          </w:p>
          <w:p>
            <w:pPr>
              <w:rPr>
                <w:rFonts w:ascii="Arial" w:hAnsi="Arial" w:cs="Arial"/>
                <w:sz w:val="28"/>
              </w:rPr>
            </w:pPr>
          </w:p>
          <w:p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As there is no coursework for the new specification students’ practical skills will be assessed directly in the exam papers, however, there are a few ‘required </w:t>
            </w:r>
            <w:proofErr w:type="spellStart"/>
            <w:r>
              <w:rPr>
                <w:rFonts w:ascii="Arial" w:hAnsi="Arial" w:cs="Arial"/>
                <w:sz w:val="28"/>
              </w:rPr>
              <w:t>practicals’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which students are required to carrying out within lessons and answer questions on these in the exam.</w:t>
            </w:r>
          </w:p>
          <w:p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  <w:shd w:val="clear" w:color="auto" w:fill="1F497D" w:themeFill="text2"/>
          </w:tcPr>
          <w:p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GCSE Combined Science: Trilogy</w:t>
            </w:r>
          </w:p>
          <w:p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GCSE Combined Science: Trilogy syllabus from AQA is designed to suit students of all abilities, and contains many of the same lessons and required </w:t>
            </w:r>
            <w:proofErr w:type="spellStart"/>
            <w:r>
              <w:rPr>
                <w:rFonts w:ascii="Arial" w:hAnsi="Arial" w:cs="Arial"/>
                <w:sz w:val="28"/>
              </w:rPr>
              <w:t>practicals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as can be found in GCSE Biology, GCSE Chemistry and GCSE Physics specifications. </w:t>
            </w:r>
          </w:p>
          <w:p>
            <w:pPr>
              <w:rPr>
                <w:rFonts w:ascii="Arial" w:hAnsi="Arial" w:cs="Arial"/>
                <w:sz w:val="28"/>
              </w:rPr>
            </w:pPr>
          </w:p>
          <w:p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There are six </w:t>
            </w:r>
            <w:proofErr w:type="gramStart"/>
            <w:r>
              <w:rPr>
                <w:rFonts w:ascii="Arial" w:hAnsi="Arial" w:cs="Arial"/>
                <w:sz w:val="28"/>
              </w:rPr>
              <w:t>75 minute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papers: two biology papers, two chemistry papers and two physics papers, each worth 16.7 %, for which each pupil will gain a double award, </w:t>
            </w:r>
            <w:r>
              <w:rPr>
                <w:rFonts w:ascii="Arial" w:hAnsi="Arial" w:cs="Arial"/>
                <w:sz w:val="28"/>
              </w:rPr>
              <w:lastRenderedPageBreak/>
              <w:t xml:space="preserve">equivalent to two GCSEs. This qualification is linear; this means that students will sit all their exams at the end of the </w:t>
            </w:r>
            <w:proofErr w:type="gramStart"/>
            <w:r>
              <w:rPr>
                <w:rFonts w:ascii="Arial" w:hAnsi="Arial" w:cs="Arial"/>
                <w:sz w:val="28"/>
              </w:rPr>
              <w:t>two year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course. </w:t>
            </w:r>
          </w:p>
          <w:p>
            <w:pPr>
              <w:rPr>
                <w:rFonts w:ascii="Arial" w:hAnsi="Arial" w:cs="Arial"/>
                <w:sz w:val="28"/>
              </w:rPr>
            </w:pPr>
          </w:p>
          <w:p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Through our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Kerboodle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>: AQA GCSE Sciences (9-1)</w:t>
            </w:r>
            <w:r>
              <w:rPr>
                <w:rFonts w:ascii="Arial" w:hAnsi="Arial" w:cs="Arial"/>
                <w:sz w:val="28"/>
              </w:rPr>
              <w:t xml:space="preserve"> system all students have access to a digital version of the student textbook, exam questions, worksheets, interactive activities, presentations, animations and revision materials.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  <w:shd w:val="clear" w:color="auto" w:fill="1F497D" w:themeFill="text2"/>
          </w:tcPr>
          <w:p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Biology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5C5C5C"/>
                <w:spacing w:val="7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5081444</wp:posOffset>
                  </wp:positionH>
                  <wp:positionV relativeFrom="paragraph">
                    <wp:posOffset>66543</wp:posOffset>
                  </wp:positionV>
                  <wp:extent cx="1487674" cy="1874088"/>
                  <wp:effectExtent l="0" t="0" r="0" b="0"/>
                  <wp:wrapNone/>
                  <wp:docPr id="14" name="Picture 14" descr="AQA GCSE Biology for Combined Science (Trilogy) Student Book (Paperb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pe_book_image" descr="AQA GCSE Biology for Combined Science (Trilogy) Student Book (Paperb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674" cy="187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Biology Paper 1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Cell biology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Organisation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Infection and response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Bioenergetics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Biology Paper 2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Homeostasis and response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Inheritance, variation and evolution</w:t>
            </w:r>
          </w:p>
          <w:p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Ecology</w:t>
            </w:r>
          </w:p>
          <w:p>
            <w:pPr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  <w:shd w:val="clear" w:color="auto" w:fill="1F497D" w:themeFill="text2"/>
          </w:tcPr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Chemistry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rPr>
          <w:trHeight w:val="4416"/>
          <w:jc w:val="center"/>
        </w:trPr>
        <w:tc>
          <w:tcPr>
            <w:tcW w:w="10773" w:type="dxa"/>
            <w:gridSpan w:val="2"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5C5C5C"/>
                <w:spacing w:val="7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5128524</wp:posOffset>
                  </wp:positionH>
                  <wp:positionV relativeFrom="paragraph">
                    <wp:posOffset>128253</wp:posOffset>
                  </wp:positionV>
                  <wp:extent cx="1490345" cy="1875155"/>
                  <wp:effectExtent l="0" t="0" r="0" b="0"/>
                  <wp:wrapNone/>
                  <wp:docPr id="15" name="Picture 15" descr="AQA GCSE Chemistry for Combined Science (Trilogy) Student Book (Paperb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pe_book_image" descr="AQA GCSE Chemistry for Combined Science (Trilogy) Student Book (Paperb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Chemistry Paper 1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Atomic structure and the periodic table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Bonding, structure, and the properties of matter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Quantitative chemistry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Chemical changes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Energy changes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Chemistry Paper 2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The rate and extent of chemical change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Organic chemistry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Chemical analysis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Chemistry of the atmosphere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Using resources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Arial" w:hAnsi="Arial" w:cs="Arial"/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  <w:shd w:val="clear" w:color="auto" w:fill="1F497D" w:themeFill="text2"/>
          </w:tcPr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>
        <w:trPr>
          <w:jc w:val="center"/>
        </w:trPr>
        <w:tc>
          <w:tcPr>
            <w:tcW w:w="10773" w:type="dxa"/>
            <w:gridSpan w:val="2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Physics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rPr>
          <w:trHeight w:val="838"/>
          <w:jc w:val="center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5C5C5C"/>
                <w:spacing w:val="7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5117630</wp:posOffset>
                  </wp:positionH>
                  <wp:positionV relativeFrom="paragraph">
                    <wp:posOffset>101155</wp:posOffset>
                  </wp:positionV>
                  <wp:extent cx="1493218" cy="1875600"/>
                  <wp:effectExtent l="0" t="0" r="0" b="0"/>
                  <wp:wrapNone/>
                  <wp:docPr id="16" name="Picture 16" descr="AQA GCSE Physics for Combined Science (Trilogy) Student Book (Paperb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pe_book_image" descr="AQA GCSE Physics for Combined Science (Trilogy) Student Book (Paperb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218" cy="18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Physics Paper 1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Energy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Electricity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Particle model of matter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Atomic structure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Physics paper 2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Forces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Waves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Magnetism and electromagnetism</w:t>
            </w: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0A66B0-255A-4265-853D-6DC7507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st-preston-r</dc:creator>
  <cp:lastModifiedBy>Miss Butler</cp:lastModifiedBy>
  <cp:revision>2</cp:revision>
  <cp:lastPrinted>2020-01-07T20:26:00Z</cp:lastPrinted>
  <dcterms:created xsi:type="dcterms:W3CDTF">2020-01-08T14:54:00Z</dcterms:created>
  <dcterms:modified xsi:type="dcterms:W3CDTF">2020-01-08T14:54:00Z</dcterms:modified>
</cp:coreProperties>
</file>